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114D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 w:after="0" w:beforeAutospacing="0" w:afterAutospacing="0"/>
        <w:ind w:left="0"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физической культуре разработана на основе: </w:t>
      </w:r>
    </w:p>
    <w:p>
      <w:pPr>
        <w:pStyle w:val="P7"/>
        <w:jc w:val="both"/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"http://docs.cntd.ru/document/420353316"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color w:val="auto"/>
          <w:u w:val="none"/>
        </w:rPr>
        <w:t>Федерального закона от 29 декабря 2012 года N 273-ФЗ "Об образовании в Российской Федерации"</w:t>
      </w:r>
      <w:r>
        <w:rPr>
          <w:rStyle w:val="C2"/>
          <w:color w:val="auto"/>
          <w:u w:val="none"/>
        </w:rPr>
        <w:fldChar w:fldCharType="end"/>
      </w:r>
      <w:r>
        <w:t xml:space="preserve"> </w:t>
      </w:r>
      <w:r>
        <w:rPr>
          <w:shd w:val="clear" w:fill="FFFFFF"/>
        </w:rPr>
        <w:t>(с изменениями на 26 июля 2019 года);</w:t>
      </w:r>
    </w:p>
    <w:p>
      <w:pPr>
        <w:pStyle w:val="P7"/>
        <w:jc w:val="both"/>
      </w:pPr>
      <w:r>
        <w:t xml:space="preserve">Федерального государственного образовательного стандарта начального общего образования, утвержденного  Приказом Министерства образования и науки РФ от 6 октября 2009 г. №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 от 31 декабря 2015 года);</w:t>
      </w:r>
    </w:p>
    <w:p>
      <w:pPr>
        <w:pStyle w:val="P7"/>
        <w:jc w:val="both"/>
      </w:pPr>
      <w:r>
        <w:t>Примерной основной образовательной программы начального общего образования (протокол от 08.04.2015 года № 1/15);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образовательной программы начального общего образования МБОУ – Медвёдовской СОШ, утвержденной приказом МБОУ – Медведовской СОШ № 13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от 3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.08.20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года;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Учебного плана МБОУ – Медвёдовской СОШ, утвержденного  приказом МБОУ – Медведовской СОШ № 100/1 от 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.05.20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года;</w:t>
      </w: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 о рабочей программе учебного предмета, курса, дисциплины (модуля) в урочной и внеурочной деятельности, а также в системе дополнительного образования, утвержденного  приказом МБОУ – Медвёдовской СОШ №145/1 от 31.08.2016 года;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программы по физической культуре </w:t>
      </w:r>
      <w:r>
        <w:rPr>
          <w:rFonts w:ascii="Times New Roman" w:hAnsi="Times New Roman"/>
          <w:color w:val="000000"/>
          <w:sz w:val="24"/>
        </w:rPr>
        <w:t xml:space="preserve">и авторской программы «Комплексная программа физического воспитания учащихся 1-11 классов»  В. И. Ляха, А. А. Зданевича УМК «Школа России». Сборник рабочих программ «Школа России» 1-4 классы: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пособие для учителей общеобразовательных организаций — М.: Просвещение, 2011</w:t>
      </w:r>
      <w:r>
        <w:rPr>
          <w:rFonts w:ascii="Times New Roman" w:hAnsi="Times New Roman"/>
          <w:sz w:val="24"/>
        </w:rPr>
        <w:t>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  <w:u w:val="single"/>
        </w:rPr>
      </w:pPr>
    </w:p>
    <w:p>
      <w:pPr>
        <w:shd w:val="clear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реализации программного содержания используется учебник: В.И. Лях «Физическая культура» 1-4 классы.  М.: Просвещение, 2012г, включенный в </w:t>
      </w:r>
      <w:r>
        <w:rPr>
          <w:rFonts w:ascii="Times New Roman" w:hAnsi="Times New Roman"/>
          <w:sz w:val="24"/>
          <w:shd w:val="clear" w:fill="FFFFFF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Минпросвещения РФ № </w:t>
      </w:r>
      <w:r>
        <w:rPr>
          <w:rFonts w:ascii="Times New Roman" w:hAnsi="Times New Roman"/>
          <w:sz w:val="24"/>
          <w:shd w:val="clear" w:fill="FFFFFF"/>
        </w:rPr>
        <w:t>254</w:t>
      </w:r>
      <w:r>
        <w:rPr>
          <w:rFonts w:ascii="Times New Roman" w:hAnsi="Times New Roman"/>
          <w:sz w:val="24"/>
          <w:shd w:val="clear" w:fill="FFFFFF"/>
        </w:rPr>
        <w:t xml:space="preserve"> от 2</w:t>
      </w:r>
      <w:r>
        <w:rPr>
          <w:rFonts w:ascii="Times New Roman" w:hAnsi="Times New Roman"/>
          <w:sz w:val="24"/>
          <w:shd w:val="clear" w:fill="FFFFFF"/>
        </w:rPr>
        <w:t>0</w:t>
      </w:r>
      <w:r>
        <w:rPr>
          <w:rFonts w:ascii="Times New Roman" w:hAnsi="Times New Roman"/>
          <w:sz w:val="24"/>
          <w:shd w:val="clear" w:fill="FFFFFF"/>
        </w:rPr>
        <w:t>.</w:t>
      </w:r>
      <w:r>
        <w:rPr>
          <w:rFonts w:ascii="Times New Roman" w:hAnsi="Times New Roman"/>
          <w:sz w:val="24"/>
          <w:shd w:val="clear" w:fill="FFFFFF"/>
        </w:rPr>
        <w:t>05</w:t>
      </w:r>
      <w:r>
        <w:rPr>
          <w:rFonts w:ascii="Times New Roman" w:hAnsi="Times New Roman"/>
          <w:sz w:val="24"/>
          <w:shd w:val="clear" w:fill="FFFFFF"/>
        </w:rPr>
        <w:t>.20</w:t>
      </w:r>
      <w:r>
        <w:rPr>
          <w:rFonts w:ascii="Times New Roman" w:hAnsi="Times New Roman"/>
          <w:sz w:val="24"/>
          <w:shd w:val="clear" w:fill="FFFFFF"/>
        </w:rPr>
        <w:t>20</w:t>
      </w:r>
      <w:r>
        <w:rPr>
          <w:rFonts w:ascii="Times New Roman" w:hAnsi="Times New Roman"/>
          <w:sz w:val="24"/>
          <w:shd w:val="clear" w:fill="FFFFFF"/>
        </w:rPr>
        <w:t xml:space="preserve"> года (с изменениями</w:t>
      </w:r>
      <w:r>
        <w:rPr>
          <w:rFonts w:ascii="Times New Roman" w:hAnsi="Times New Roman"/>
          <w:sz w:val="24"/>
          <w:shd w:val="clear" w:fill="FFFFFF"/>
        </w:rPr>
        <w:t>).</w:t>
      </w:r>
    </w:p>
    <w:p>
      <w:pPr>
        <w:ind w:firstLine="540"/>
        <w:jc w:val="both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sz w:val="24"/>
        </w:rPr>
        <w:t>Рабочая программа рассчитана на 68 учебных часов. (2 часа в неделю</w:t>
      </w:r>
      <w:r>
        <w:t xml:space="preserve">). </w:t>
      </w:r>
    </w:p>
    <w:p>
      <w:pPr>
        <w:pStyle w:val="P2"/>
        <w:ind w:firstLine="0"/>
        <w:rPr>
          <w:i w:val="1"/>
          <w:sz w:val="24"/>
        </w:rPr>
      </w:pPr>
      <w:r>
        <w:rPr>
          <w:i w:val="1"/>
          <w:sz w:val="24"/>
        </w:rPr>
        <w:t>Общая характеристика курса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 xml:space="preserve">Важнейшие задачи образования в начальной школе (формирование  предметных и универсальных способов 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 личностного развития – эмоциональной, познавательной, саморегуляции)  реализуются в  процессе обучения  по  всем  предметам. Однако каждый из них  имеет  свою специфику.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 xml:space="preserve">Чтение, русский язык и математика создают фундамент для освоения  всех  остальных предметов, как минимум тем,  что обучают детей чтению, письму и счёту. Физическая культура совместно с другими предметами решают одну  из  важных проблем –  проблему здоровья ребёнка.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 xml:space="preserve">  Предметом обучения физической  культуре  в  начальной школе является  двигательная деятельность человека с  общеразвивающей направленностью. В  процессе овладения этой  деятельностью укрепляется здоровье, совершенствуются физические качества, осваиваются   определённые двигательные действия,  активно  развиваются мышление, творчество и самостоятельность.</w:t>
      </w:r>
    </w:p>
    <w:p>
      <w:pPr>
        <w:pStyle w:val="P3"/>
        <w:jc w:val="both"/>
        <w:rPr>
          <w:rStyle w:val="C5"/>
        </w:rPr>
      </w:pPr>
      <w:r>
        <w:rPr>
          <w:rStyle w:val="C5"/>
          <w:i w:val="0"/>
        </w:rPr>
        <w:t xml:space="preserve">Учитывая эти особенности, целью программы по физической культуре  является  формирование у  учащихся  начальной школы  основ здорового образа жизни,  развитие  творческой самостоятельности посредством освоения двигательной деятельности. Реализация  данной цели связана с решением следующих </w:t>
      </w:r>
      <w:r>
        <w:rPr>
          <w:rStyle w:val="C5"/>
        </w:rPr>
        <w:t>образовательных задач: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 xml:space="preserve">– совершенствование жизненно важных навыков и умений посредством  обучения подвижным играм, физическим упражнениям и техническим действиям из базовых видов  спорта;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 xml:space="preserve">– формирование общих представлений о физической культуре, её значении в жизни человека, роли  в укреплении здоровья, физическом  развитии и физической подготовленности;</w:t>
      </w:r>
    </w:p>
    <w:p>
      <w:pPr>
        <w:pStyle w:val="P3"/>
        <w:jc w:val="both"/>
        <w:rPr>
          <w:rStyle w:val="C5"/>
          <w:i w:val="0"/>
        </w:rPr>
      </w:pPr>
      <w:r>
        <w:rPr>
          <w:rStyle w:val="C5"/>
          <w:i w:val="0"/>
        </w:rPr>
        <w:t xml:space="preserve">–  развитие интереса к самостоятельным занятиям физическими упражнениями, подвижным играм, формам активного отдыха и досуга;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>
      <w:pPr>
        <w:pStyle w:val="P2"/>
        <w:spacing w:lineRule="auto" w:line="240" w:beforeAutospacing="0" w:afterAutospacing="0"/>
        <w:ind w:firstLine="0"/>
        <w:rPr>
          <w:i w:val="1"/>
          <w:sz w:val="24"/>
        </w:rPr>
      </w:pPr>
      <w:r>
        <w:rPr>
          <w:i w:val="1"/>
          <w:sz w:val="24"/>
        </w:rPr>
        <w:t>Программа обучения физической культуре направлена на: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–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условия- ми  и  видом   учебного учреждения (городские, малокомплектные и сельские школы);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  <w:br w:type="textWrapping"/>
        <w:t>–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– расширение межпредметных связей, ориентирующих планирование учебного материала на  целостное формирование мировоззрения  учащихся в области физической культуры, всестороннее раскрытие   взаимосвязи  и  взаимообусловленности  изучаемых явлений  и процессов;</w:t>
      </w:r>
    </w:p>
    <w:p>
      <w:pPr>
        <w:pStyle w:val="P2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– усиление оздоровительного эффекта, достигаемого в ходе активного   использования школьниками  освоенных знаний,  способов   и физических упражнений в физкультурно-оздоровительных мероприятиях,  режиме дня,  самостоятельных занятиях  физическими упражнениями.</w:t>
      </w:r>
    </w:p>
    <w:p>
      <w:pPr>
        <w:pStyle w:val="P2"/>
        <w:ind w:firstLine="0"/>
        <w:rPr>
          <w:i w:val="1"/>
          <w:sz w:val="24"/>
        </w:rPr>
      </w:pPr>
      <w:r>
        <w:rPr>
          <w:i w:val="1"/>
          <w:sz w:val="24"/>
        </w:rPr>
        <w:t>Общая характеристика учебного предмета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организовывать собственную деятельность, выбирать и использовать средства для достижения ее цели;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color w:val="000000"/>
          <w:sz w:val="24"/>
        </w:rPr>
        <w:t>Планируемые результаты изучения учебного предмета</w:t>
      </w:r>
      <w:r>
        <w:rPr>
          <w:rFonts w:ascii="Times New Roman" w:hAnsi="Times New Roman"/>
          <w:i w:val="1"/>
          <w:sz w:val="24"/>
          <w:u w:val="single"/>
        </w:rPr>
        <w:t xml:space="preserve"> 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Универсальными компетенциями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учащихся на этапе начального общего образования по физической культуре являются: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Личностными результатами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 учащимися содержания программы по физической культуре являются следующие умения: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проявлять дисциплинированность, трудолюбие и упорство в достижении поставленных целей;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оказывать бескорыстную помощь своим сверстникам, находить с ними общий язык и общие интересы.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Метапредметными результатами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 учащимися содержания программы по физической культуре являются следующие умения: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находить ошибки при выполнении учебных заданий, отбирать способы их исправления;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обеспечивать защиту и сохранность природы во время активного отдыха и занятий физической культурой;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планировать собственную деятельность, распределять нагрузку и отдых в процессе ее выполнения;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оценивать красоту телосложения и осанки, сравнивать их с эталонными образцами;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Предметными результатами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освоения учащимися содержания программы по физической культуре являются следующие умения: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взаимодействовать со сверстниками по правилам проведения подвижных игр и соревнований;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подавать строевые команды, вести подсчёт при выполнении общеразвивающих упражнений;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>
      <w:pPr>
        <w:spacing w:lineRule="auto" w:line="240" w:after="0" w:beforeAutospacing="0" w:afterAutospacing="0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освоения программного материала по физической культуре учащиеся 3 класса должны: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уметь:</w:t>
      </w:r>
    </w:p>
    <w:p>
      <w:pPr>
        <w:pStyle w:val="P4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комплексы упражнений, направленные на формирование правильной осанки;</w:t>
      </w:r>
    </w:p>
    <w:p>
      <w:pPr>
        <w:pStyle w:val="P4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комплексы упражнений утренней зарядки и физкультминуток;</w:t>
      </w:r>
    </w:p>
    <w:p>
      <w:pPr>
        <w:pStyle w:val="P4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играть в подвижные игры;</w:t>
      </w:r>
    </w:p>
    <w:p>
      <w:pPr>
        <w:pStyle w:val="P4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передвижения в ходьбе, беге, прыжках разными способами;</w:t>
      </w:r>
    </w:p>
    <w:p>
      <w:pPr>
        <w:pStyle w:val="P4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строевые упражнения.</w:t>
      </w:r>
    </w:p>
    <w:p>
      <w:pPr>
        <w:pStyle w:val="P4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Содержание   учебного курса.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Программа состоит из трех разделов:</w:t>
      </w:r>
    </w:p>
    <w:p>
      <w:pPr>
        <w:pStyle w:val="P4"/>
        <w:numPr>
          <w:ilvl w:val="0"/>
          <w:numId w:val="6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«Знания о физической культуре» (информационный компонент),</w:t>
      </w:r>
    </w:p>
    <w:p>
      <w:pPr>
        <w:pStyle w:val="P4"/>
        <w:numPr>
          <w:ilvl w:val="0"/>
          <w:numId w:val="6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«Способы физкультурной деятельности» (операционный компонент) </w:t>
      </w:r>
    </w:p>
    <w:p>
      <w:pPr>
        <w:pStyle w:val="P4"/>
        <w:numPr>
          <w:ilvl w:val="0"/>
          <w:numId w:val="6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«Физическое совершенствование» (мотивационный компонент).</w:t>
      </w:r>
    </w:p>
    <w:p>
      <w:pPr>
        <w:pStyle w:val="P3"/>
      </w:pPr>
      <w:r>
        <w:t xml:space="preserve">Содержание первого раздела </w:t>
      </w:r>
      <w:r>
        <w:rPr>
          <w:b w:val="1"/>
          <w:i w:val="1"/>
        </w:rPr>
        <w:t>«</w:t>
      </w:r>
      <w:r>
        <w:rPr>
          <w:i w:val="1"/>
        </w:rPr>
        <w:t>Знания о физической культуре»</w:t>
      </w:r>
      <w:r>
        <w:t xml:space="preserve">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>
      <w:pPr>
        <w:pStyle w:val="P3"/>
      </w:pPr>
      <w:r>
        <w:t xml:space="preserve">Раздел </w:t>
      </w:r>
      <w:r>
        <w:rPr>
          <w:i w:val="1"/>
        </w:rPr>
        <w:t>«Способы физкультурной деятельности»</w:t>
      </w:r>
      <w:r>
        <w:t xml:space="preserve">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>
      <w:pPr>
        <w:pStyle w:val="P3"/>
      </w:pPr>
      <w:r>
        <w:t xml:space="preserve">Содержание раздела </w:t>
      </w:r>
      <w:r>
        <w:rPr>
          <w:i w:val="1"/>
        </w:rPr>
        <w:t>«Физическое совершенствование»</w:t>
      </w:r>
      <w:r>
        <w:rPr>
          <w:b w:val="1"/>
          <w:i w:val="1"/>
        </w:rPr>
        <w:t xml:space="preserve"> </w:t>
      </w:r>
      <w:r>
        <w:t>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>
      <w:pPr>
        <w:pStyle w:val="P3"/>
      </w:pPr>
      <w: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</w:t>
      </w:r>
    </w:p>
    <w:p>
      <w:pPr>
        <w:pStyle w:val="P3"/>
      </w:pPr>
      <w:r>
        <w:t xml:space="preserve">«Гимнастика с основами акробатики», </w:t>
      </w:r>
    </w:p>
    <w:p>
      <w:pPr>
        <w:pStyle w:val="P3"/>
      </w:pPr>
      <w:r>
        <w:t xml:space="preserve"> «Легкая атлетика»,</w:t>
      </w:r>
    </w:p>
    <w:p>
      <w:pPr>
        <w:pStyle w:val="P3"/>
      </w:pPr>
      <w:r>
        <w:t xml:space="preserve"> «Подвижные и спортивные игры»,</w:t>
      </w:r>
    </w:p>
    <w:p>
      <w:pPr>
        <w:pStyle w:val="P3"/>
      </w:pPr>
      <w:r>
        <w:t>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>
      <w:pPr>
        <w:pStyle w:val="P3"/>
        <w:jc w:val="both"/>
      </w:pPr>
      <w:r>
        <w:t xml:space="preserve">В содержание настоящей программы также входит относительно самостоятельный раздел </w:t>
      </w:r>
      <w:r>
        <w:rPr>
          <w:i w:val="1"/>
        </w:rPr>
        <w:t>«Общеразвивающие упражнения».</w:t>
      </w:r>
      <w:r>
        <w:t xml:space="preserve"> В данном</w:t>
      </w:r>
      <w:r>
        <w:rPr>
          <w:sz w:val="28"/>
        </w:rPr>
        <w:t xml:space="preserve"> </w:t>
      </w:r>
      <w:r>
        <w:t xml:space="preserve">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</w:t>
      </w:r>
    </w:p>
    <w:p>
      <w:pPr>
        <w:pStyle w:val="P3"/>
        <w:ind w:firstLine="708"/>
        <w:jc w:val="both"/>
      </w:pPr>
      <w:r>
        <w:t>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>
      <w:pPr>
        <w:pStyle w:val="P8"/>
        <w:shd w:val="clear" w:fill="FFFFFF"/>
        <w:spacing w:before="0" w:after="0" w:beforeAutospacing="0" w:afterAutospacing="0"/>
        <w:jc w:val="center"/>
        <w:rPr>
          <w:rStyle w:val="C8"/>
          <w:b w:val="1"/>
          <w:color w:val="000000"/>
          <w:sz w:val="28"/>
        </w:rPr>
      </w:pPr>
    </w:p>
    <w:p>
      <w:pPr>
        <w:pStyle w:val="P8"/>
        <w:shd w:val="clear" w:fill="FFFFFF"/>
        <w:spacing w:before="0" w:after="0" w:beforeAutospacing="0" w:afterAutospacing="0"/>
        <w:jc w:val="center"/>
        <w:rPr>
          <w:rStyle w:val="C8"/>
          <w:b w:val="1"/>
          <w:color w:val="000000"/>
          <w:sz w:val="28"/>
        </w:rPr>
      </w:pPr>
      <w:r>
        <w:rPr>
          <w:rStyle w:val="C8"/>
          <w:b w:val="1"/>
          <w:color w:val="000000"/>
          <w:sz w:val="28"/>
        </w:rPr>
        <w:t>Тематическое планирование</w:t>
      </w:r>
    </w:p>
    <w:p>
      <w:pPr>
        <w:pStyle w:val="P8"/>
        <w:shd w:val="clear" w:fill="FFFFFF"/>
        <w:spacing w:before="0" w:after="0" w:beforeAutospacing="0" w:afterAutospacing="0"/>
        <w:jc w:val="center"/>
        <w:rPr>
          <w:rStyle w:val="C8"/>
          <w:b w:val="1"/>
          <w:color w:val="000000"/>
          <w:sz w:val="28"/>
        </w:rPr>
      </w:pPr>
    </w:p>
    <w:tbl>
      <w:tblPr>
        <w:tblStyle w:val="T4"/>
        <w:tblW w:w="0" w:type="auto"/>
        <w:tblLook w:val="04A0"/>
      </w:tblPr>
      <w:tblGrid/>
      <w:tr>
        <w:tc>
          <w:tcPr>
            <w:tcW w:w="947" w:type="dxa"/>
          </w:tcPr>
          <w:p>
            <w:pPr>
              <w:pStyle w:val="P8"/>
              <w:spacing w:before="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428" w:type="dxa"/>
          </w:tcPr>
          <w:p>
            <w:pPr>
              <w:pStyle w:val="P8"/>
              <w:spacing w:before="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2196" w:type="dxa"/>
          </w:tcPr>
          <w:p>
            <w:pPr>
              <w:pStyle w:val="P8"/>
              <w:spacing w:before="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>
        <w:tc>
          <w:tcPr>
            <w:tcW w:w="947" w:type="dxa"/>
          </w:tcPr>
          <w:p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2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c>
          <w:tcPr>
            <w:tcW w:w="947" w:type="dxa"/>
          </w:tcPr>
          <w:p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2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 спортивные игры 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>
        <w:tc>
          <w:tcPr>
            <w:tcW w:w="947" w:type="dxa"/>
          </w:tcPr>
          <w:p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2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с элементами акробатики </w:t>
            </w:r>
          </w:p>
        </w:tc>
        <w:tc>
          <w:tcPr>
            <w:tcW w:w="219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w="947" w:type="dxa"/>
          </w:tcPr>
          <w:p>
            <w:pPr>
              <w:pStyle w:val="P8"/>
              <w:spacing w:before="0" w:after="0" w:beforeAutospacing="0" w:afterAutospacing="0"/>
              <w:jc w:val="both"/>
              <w:rPr>
                <w:color w:val="000000"/>
              </w:rPr>
            </w:pPr>
          </w:p>
        </w:tc>
        <w:tc>
          <w:tcPr>
            <w:tcW w:w="6428" w:type="dxa"/>
          </w:tcPr>
          <w:p>
            <w:pPr>
              <w:pStyle w:val="P8"/>
              <w:spacing w:before="0" w:after="0" w:beforeAutospacing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196" w:type="dxa"/>
          </w:tcPr>
          <w:p>
            <w:pPr>
              <w:pStyle w:val="P8"/>
              <w:spacing w:before="0" w:after="0" w:beforeAutospacing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>
      <w:pPr>
        <w:pStyle w:val="P5"/>
        <w:jc w:val="left"/>
      </w:pPr>
    </w:p>
    <w:p>
      <w:pPr>
        <w:pStyle w:val="P5"/>
        <w:jc w:val="left"/>
      </w:pPr>
    </w:p>
    <w:p>
      <w:pPr>
        <w:pStyle w:val="P3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Календарно-тематическое планирование </w:t>
      </w:r>
    </w:p>
    <w:tbl>
      <w:tblPr>
        <w:tblW w:w="0" w:type="auto"/>
        <w:tblInd w:w="-696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413"/>
        </w:trPr>
        <w:tc>
          <w:tcPr>
            <w:tcW w:w="656" w:type="dxa"/>
            <w:vMerge w:val="restart"/>
          </w:tcPr>
          <w:p>
            <w:pPr>
              <w:pStyle w:val="P3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w="5257" w:type="dxa"/>
            <w:vMerge w:val="restart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1134" w:type="dxa"/>
            <w:vMerge w:val="restart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часов</w:t>
            </w:r>
          </w:p>
        </w:tc>
        <w:tc>
          <w:tcPr>
            <w:tcW w:w="2836" w:type="dxa"/>
            <w:gridSpan w:val="2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</w:tr>
      <w:tr>
        <w:trPr>
          <w:trHeight w:hRule="atLeast" w:val="412"/>
        </w:trPr>
        <w:tc>
          <w:tcPr>
            <w:tcW w:w="656" w:type="dxa"/>
            <w:vMerge w:val="continue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257" w:type="dxa"/>
            <w:vMerge w:val="continue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плану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Фактически</w:t>
            </w:r>
          </w:p>
        </w:tc>
      </w:tr>
      <w:tr>
        <w:trPr>
          <w:trHeight w:hRule="atLeast" w:val="423"/>
        </w:trPr>
        <w:tc>
          <w:tcPr>
            <w:tcW w:w="8465" w:type="dxa"/>
            <w:gridSpan w:val="4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Легкая атлетика (10 ч)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Вводный инструктаж по ТБ. Ходьба под счет. Ходьба на носках, на пятках.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Ходьба с различным положением рук, под счет.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rPr>
          <w:trHeight w:hRule="atLeast" w:val="609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Обычный бег, с  изменением направления движения, коротким, длинным и средним шагом.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ходьбы. Бег с ускорением. Бег (30-60м).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одной ноге, на двух на месте, с поворотом на 90-180º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на одной ноге, на двух ногах с продвижением вперед.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места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малого мяча  на дальность, на заданное расстояние.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Метание малого мяча  в горизонтальную цель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ОРУ. Метание набивного мяча из разных положений.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  <w:tc>
          <w:tcPr>
            <w:tcW w:w="1418" w:type="dxa"/>
          </w:tcPr>
          <w:p>
            <w:pPr>
              <w:pStyle w:val="P3"/>
              <w:jc w:val="center"/>
            </w:pPr>
          </w:p>
        </w:tc>
      </w:tr>
      <w:tr>
        <w:trPr>
          <w:trHeight w:hRule="atLeast" w:val="406"/>
        </w:trPr>
        <w:tc>
          <w:tcPr>
            <w:tcW w:w="8465" w:type="dxa"/>
            <w:gridSpan w:val="4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Кроссовая подготовка (8ч)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Чередование ходьбы и бега (бег - 70 м, ходьба - 100 м).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(4 мин).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0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(5 мин).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6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6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(6 мин).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6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7 мин).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6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(8 мин).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(9 мин).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Кросс (1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км) (бег - 90 м, ходьба -90 м).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7"/>
        </w:trPr>
        <w:tc>
          <w:tcPr>
            <w:tcW w:w="8465" w:type="dxa"/>
            <w:gridSpan w:val="4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Гимнастика (14ч)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Т.Б. на уроках по гимнастике.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стойка. Построение в колонну по одному.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2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две шеренги.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Перестроение из двух шеренг в одну.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5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Перекаты и группировка с последующей опорой руками за головой. 2-3 кувырка вперед.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Кувырки вперед (2-3 кувырка). Стойка на лопатках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6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Стойка на лопатках. Мост из положения лежа на спине.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66" w:beforeAutospacing="0" w:afterAutospacing="0"/>
              <w:ind w:firstLine="2" w:righ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66" w:beforeAutospacing="0" w:afterAutospacing="0"/>
              <w:ind w:firstLine="2" w:right="1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66" w:beforeAutospacing="0" w:afterAutospacing="0"/>
              <w:ind w:firstLine="2" w:right="1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5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Стойка на лопатках. Мост из положения лежа на спине.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66" w:beforeAutospacing="0" w:afterAutospacing="0"/>
              <w:ind w:firstLine="2" w:righ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66" w:beforeAutospacing="0" w:afterAutospacing="0"/>
              <w:ind w:firstLine="2" w:right="1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66" w:beforeAutospacing="0" w:afterAutospacing="0"/>
              <w:ind w:firstLine="2" w:right="11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Упражнения в упоре лежа на гимнастической скамейке.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83" w:beforeAutospacing="0" w:afterAutospacing="0"/>
              <w:ind w:firstLine="2"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83" w:beforeAutospacing="0" w:afterAutospacing="0"/>
              <w:ind w:firstLine="2" w:right="5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83" w:beforeAutospacing="0" w:afterAutospacing="0"/>
              <w:ind w:firstLine="2" w:right="5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1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Упражнения в упоре лежа на гимнастической скамейке.</w:t>
            </w:r>
          </w:p>
        </w:tc>
        <w:tc>
          <w:tcPr>
            <w:tcW w:w="1134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Выполнение команд «Класс, шагом марш!», «Класс, стой!».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Передвижение по диагонали, противоходом, «змейкой».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69" w:beforeAutospacing="0" w:afterAutospacing="0"/>
              <w:ind w:right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69" w:beforeAutospacing="0" w:afterAutospacing="0"/>
              <w:ind w:right="2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69" w:beforeAutospacing="0" w:afterAutospacing="0"/>
              <w:ind w:right="2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Передвижение по диагонали, противоходом, «змейкой».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69" w:beforeAutospacing="0" w:afterAutospacing="0"/>
              <w:ind w:right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69" w:beforeAutospacing="0" w:afterAutospacing="0"/>
              <w:ind w:right="2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69" w:beforeAutospacing="0" w:afterAutospacing="0"/>
              <w:ind w:right="2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Опорный прыжок на  коня (козла)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Лазание по наклонной скамейке в упоре лежа, подтягиваясь руками.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Лазание по наклонной скамейке в упоре лежа, подтягиваясь руками.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w="8465" w:type="dxa"/>
            <w:gridSpan w:val="4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Подвижные игры (12ч)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ОРУс обручами. Игры с обручами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ОРУ в движении.  Эстафеты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 с мячом. Игры с мячом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ОРУ. Эстафета с обручами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ОРУ. Эстафеты с мячами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ОРУ. Эстафеты с гимнастическими палками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ОРУ. Развитие скоростно-силовых способностей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 в движении. Развитие скоростно-силовых способностей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ОРУ в движении.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упражнений на развитие физических качеств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 в движении. Игры «Лисы и куры», «Точный расчет».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 в движении. Игры «Удочка», «Компас».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 в движении. Эстафеты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89"/>
        </w:trPr>
        <w:tc>
          <w:tcPr>
            <w:tcW w:w="8465" w:type="dxa"/>
            <w:gridSpan w:val="4"/>
          </w:tcPr>
          <w:p>
            <w:pPr>
              <w:tabs>
                <w:tab w:val="left" w:pos="6735" w:leader="none"/>
                <w:tab w:val="center" w:pos="7852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Подвижные игры на основе футбола (7ч)</w:t>
            </w:r>
          </w:p>
        </w:tc>
        <w:tc>
          <w:tcPr>
            <w:tcW w:w="1418" w:type="dxa"/>
          </w:tcPr>
          <w:p>
            <w:pPr>
              <w:tabs>
                <w:tab w:val="left" w:pos="6735" w:leader="none"/>
                <w:tab w:val="center" w:pos="7852" w:leader="none"/>
              </w:tabs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безопасности во время игры с мячом.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Футбольные упражнения.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Различные варианты футбольных упражнений в парах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2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«Перестрелка». Способы передачи мяча.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2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«Отними мяч». Футбольные упражнения в парах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ведения футбольного мяча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Футбольные упражнения в парах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2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основе футбола.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«Перестрелка»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w="8465" w:type="dxa"/>
            <w:gridSpan w:val="4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Подвижные игры на основе баскетбола (15)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26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Ловля и передача мяча на месте и в движении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мяча на месте в тройках.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мяча на месте в четверках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на месте и в движении правой (левой) рукой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в движении бегом правой (левой) рукой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мяча с изменением направления и скорости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Бросок мяча двумя руками от груди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w="8465" w:type="dxa"/>
            <w:gridSpan w:val="4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Легкая атлетика (10ч)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ТБ на уроках легкой атлетики.</w:t>
            </w:r>
          </w:p>
          <w:p>
            <w:pPr>
              <w:pStyle w:val="P3"/>
            </w:pPr>
            <w:r>
              <w:t>Изучение техники низкого старта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9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Бег с максимальной скоростью (60 м). Бег на результат (30, 60 м)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83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83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83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Прыжок в длину с места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4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257" w:type="dxa"/>
          </w:tcPr>
          <w:p>
            <w:pPr>
              <w:pStyle w:val="P3"/>
            </w:pPr>
            <w:r>
              <w:t>Прыжок в высоту с прямого разбега из зоны отталкивания.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exact" w:line="288" w:beforeAutospacing="0" w:afterAutospacing="0"/>
              <w:ind w:righ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exact" w:line="288" w:beforeAutospacing="0" w:afterAutospacing="0"/>
              <w:ind w:right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exact" w:line="288" w:beforeAutospacing="0" w:afterAutospacing="0"/>
              <w:ind w:right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 с места на дальность и на заданное расстояние. Метание в цель с 4-5 м.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мяча вперед-вверх на дальность и на заданное расстояние.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Чередование ходьбы, бега (бег - 70 м, ходьба -100 м).</w:t>
            </w:r>
          </w:p>
        </w:tc>
        <w:tc>
          <w:tcPr>
            <w:tcW w:w="1134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25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Бег. Преодоление препятствий.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Челночный бег 3 х 10, 3 х 15.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3"/>
        </w:trPr>
        <w:tc>
          <w:tcPr>
            <w:tcW w:w="65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257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 м без учета времени</w:t>
            </w:r>
          </w:p>
        </w:tc>
        <w:tc>
          <w:tcPr>
            <w:tcW w:w="1134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hd w:val="clear" w:fill="FFFFFF"/>
              <w:spacing w:lineRule="auto" w:line="240" w:after="0" w:beforeAutospacing="0" w:afterAutospacing="0"/>
              <w:ind w:firstLine="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2B60FD5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36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1">
    <w:nsid w:val="209475E8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36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nsid w:val="29C5296D"/>
    <w:multiLevelType w:val="hybridMultilevel"/>
    <w:lvl w:ilvl="0" w:tplc="3692C8A2">
      <w:start w:val="1"/>
      <w:numFmt w:val="decimal"/>
      <w:suff w:val="tab"/>
      <w:lvlText w:val="%1."/>
      <w:lvlJc w:val="left"/>
      <w:pPr>
        <w:ind w:hanging="360" w:left="1919"/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263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35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407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79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51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23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95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679"/>
      </w:pPr>
      <w:rPr/>
    </w:lvl>
  </w:abstractNum>
  <w:abstractNum w:abstractNumId="3">
    <w:nsid w:val="2F267F3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3CE97AB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562051C5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ody Text Indent 3"/>
    <w:basedOn w:val="P0"/>
    <w:link w:val="C3"/>
    <w:pPr>
      <w:spacing w:lineRule="auto" w:line="240" w:after="120" w:beforeAutospacing="0" w:afterAutospacing="0"/>
      <w:ind w:left="283"/>
    </w:pPr>
    <w:rPr>
      <w:rFonts w:ascii="Times New Roman" w:hAnsi="Times New Roman"/>
      <w:sz w:val="16"/>
    </w:rPr>
  </w:style>
  <w:style w:type="paragraph" w:styleId="P2">
    <w:name w:val="Body Text"/>
    <w:basedOn w:val="P0"/>
    <w:link w:val="C4"/>
    <w:pPr>
      <w:spacing w:lineRule="auto" w:line="360" w:after="0" w:beforeAutospacing="0" w:afterAutospacing="0"/>
      <w:ind w:firstLine="709"/>
      <w:jc w:val="both"/>
    </w:pPr>
    <w:rPr>
      <w:rFonts w:ascii="Times New Roman" w:hAnsi="Times New Roman"/>
      <w:sz w:val="28"/>
    </w:rPr>
  </w:style>
  <w:style w:type="paragraph" w:styleId="P3">
    <w:name w:val="No Spacing"/>
    <w:link w:val="C7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Заголовок 3+"/>
    <w:basedOn w:val="P0"/>
    <w:pPr>
      <w:widowControl w:val="0"/>
      <w:spacing w:lineRule="auto" w:line="240" w:before="240" w:after="0" w:beforeAutospacing="0" w:afterAutospacing="0"/>
      <w:jc w:val="center"/>
    </w:pPr>
    <w:rPr>
      <w:rFonts w:ascii="Times New Roman" w:hAnsi="Times New Roman"/>
      <w:b w:val="1"/>
      <w:sz w:val="28"/>
    </w:rPr>
  </w:style>
  <w:style w:type="paragraph" w:styleId="P6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7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c2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Основной текст с отступом 3 Знак"/>
    <w:basedOn w:val="C0"/>
    <w:link w:val="P1"/>
    <w:rPr>
      <w:rFonts w:ascii="Times New Roman" w:hAnsi="Times New Roman"/>
      <w:sz w:val="16"/>
    </w:rPr>
  </w:style>
  <w:style w:type="character" w:styleId="C4">
    <w:name w:val="Основной текст Знак"/>
    <w:basedOn w:val="C0"/>
    <w:link w:val="P2"/>
    <w:rPr>
      <w:rFonts w:ascii="Times New Roman" w:hAnsi="Times New Roman"/>
      <w:sz w:val="28"/>
    </w:rPr>
  </w:style>
  <w:style w:type="character" w:styleId="C5">
    <w:name w:val="Emphasis"/>
    <w:qFormat/>
    <w:rPr>
      <w:i w:val="1"/>
    </w:rPr>
  </w:style>
  <w:style w:type="character" w:styleId="C6">
    <w:name w:val="Текст выноски Знак"/>
    <w:basedOn w:val="C0"/>
    <w:link w:val="P6"/>
    <w:semiHidden/>
    <w:rPr>
      <w:rFonts w:ascii="Tahoma" w:hAnsi="Tahoma"/>
      <w:sz w:val="16"/>
    </w:rPr>
  </w:style>
  <w:style w:type="character" w:styleId="C7">
    <w:name w:val="Без интервала Знак"/>
    <w:link w:val="P3"/>
    <w:rPr>
      <w:rFonts w:ascii="Times New Roman" w:hAnsi="Times New Roman"/>
      <w:sz w:val="24"/>
    </w:rPr>
  </w:style>
  <w:style w:type="character" w:styleId="C8">
    <w:name w:val="c1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Grid Table Light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BFBFBF"/>
        <w:left w:val="single" w:sz="4" w:space="0" w:shadow="0" w:frame="0" w:color="BFBFBF"/>
        <w:bottom w:val="single" w:sz="4" w:space="0" w:shadow="0" w:frame="0" w:color="BFBFBF"/>
        <w:right w:val="single" w:sz="4" w:space="0" w:shadow="0" w:frame="0" w:color="BFBFBF"/>
        <w:insideH w:val="single" w:sz="4" w:space="0" w:shadow="0" w:frame="0" w:color="BFBFBF"/>
        <w:insideV w:val="single" w:sz="4" w:space="0" w:shadow="0" w:frame="0" w:color="BFBFBF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Plain Table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4" w:space="0" w:shadow="0" w:frame="0" w:color="7F7F7F"/>
        <w:bottom w:val="single" w:sz="4" w:space="0" w:shadow="0" w:frame="0" w:color="7F7F7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4" w:space="0" w:shadow="0" w:frame="0" w:color="7F7F7F"/>
          <w:bottom w:val="single" w:sz="4" w:space="0" w:shadow="0" w:frame="0" w:color="7F7F7F"/>
        </w:tcBorders>
      </w:tcPr>
    </w:tblStylePr>
    <w:tblStylePr w:type="band2Vert">
      <w:tblPr/>
      <w:trPr/>
      <w:tcPr>
        <w:tcBorders>
          <w:left w:val="single" w:sz="4" w:space="0" w:shadow="0" w:frame="0" w:color="7F7F7F"/>
          <w:right w:val="single" w:sz="4" w:space="0" w:shadow="0" w:frame="0" w:color="7F7F7F"/>
        </w:tcBorders>
      </w:tcPr>
    </w:tblStylePr>
    <w:tblStylePr w:type="band1Vert">
      <w:tblPr/>
      <w:trPr/>
      <w:tcPr>
        <w:tcBorders>
          <w:left w:val="single" w:sz="4" w:space="0" w:shadow="0" w:frame="0" w:color="7F7F7F"/>
          <w:right w:val="single" w:sz="4" w:space="0" w:shadow="0" w:frame="0" w:color="7F7F7F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sz="4" w:space="0" w:shadow="0" w:frame="0" w:color="7F7F7F"/>
        </w:tcBorders>
      </w:tcPr>
    </w:tblStylePr>
    <w:tblStylePr w:type="firstRow">
      <w:rPr>
        <w:b w:val="1"/>
      </w:rPr>
      <w:tblPr/>
      <w:trPr/>
      <w:tcPr>
        <w:tcBorders>
          <w:bottom w:val="single" w:sz="4" w:space="0" w:shadow="0" w:frame="0" w:color="7F7F7F"/>
        </w:tcBorders>
      </w:tcPr>
    </w:tblStylePr>
  </w:style>
  <w:style w:type="table" w:styleId="T4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